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„Nabava poštanskih usluga“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420DA5" w:rsidP="00FA03F1">
      <w:pPr>
        <w:spacing w:line="20" w:lineRule="exact"/>
      </w:pPr>
      <w:r w:rsidRPr="00420DA5">
        <w:rPr>
          <w:sz w:val="22"/>
        </w:rPr>
        <w:pict>
          <v:line id="_x0000_s1026" style="position:absolute;z-index:-251656192" from="5.8pt,92.05pt" to="149.8pt,92.05pt" o:userdrawn="t" strokeweight=".6pt"/>
        </w:pic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0" w:name="page3"/>
      <w:bookmarkEnd w:id="0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420DA5" w:rsidP="00FA03F1">
      <w:pPr>
        <w:spacing w:line="20" w:lineRule="exact"/>
      </w:pPr>
      <w:r w:rsidRPr="00420DA5">
        <w:rPr>
          <w:sz w:val="24"/>
        </w:rPr>
        <w:pict>
          <v:line id="_x0000_s1027" style="position:absolute;z-index:-251655168;mso-position-horizontal-relative:text;mso-position-vertical-relative:text" from="5.8pt,41.55pt" to="149.8pt,41.55pt" o:userdrawn="t" strokeweight=".6pt"/>
        </w:pic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bookmarkStart w:id="1" w:name="page1"/>
      <w:bookmarkEnd w:id="1"/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Datum:_______ 2018.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IZJAVA O DOSTAVI JAMSTVA ZA UREDNO ISPUNJENJE UGOVORA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B4D4D" w:rsidRPr="00A12875" w:rsidRDefault="00FB4D4D" w:rsidP="00FB4D4D">
      <w:pPr>
        <w:jc w:val="both"/>
        <w:rPr>
          <w:rFonts w:asciiTheme="minorHAnsi" w:hAnsiTheme="minorHAnsi"/>
          <w:b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B4D4D" w:rsidRPr="00A12875" w:rsidRDefault="00FB4D4D" w:rsidP="00FB4D4D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B4D4D" w:rsidRPr="00A12875" w:rsidRDefault="00FB4D4D" w:rsidP="00FB4D4D">
      <w:pPr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>najkasnije u roku od 8 dana od sklapanja</w:t>
      </w:r>
      <w:r w:rsidR="00D013D1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 ugovora s rokom valjanosti </w:t>
      </w:r>
      <w:r w:rsidR="00B07B8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</w:t>
      </w:r>
      <w:r w:rsidR="00D013D1" w:rsidRPr="003F2EE9">
        <w:rPr>
          <w:rFonts w:asciiTheme="minorHAnsi" w:eastAsia="Times New Roman" w:hAnsiTheme="minorHAnsi" w:cstheme="minorHAnsi"/>
          <w:sz w:val="24"/>
          <w:szCs w:val="24"/>
        </w:rPr>
        <w:t xml:space="preserve"> od isteka ugovorenog roka</w:t>
      </w:r>
    </w:p>
    <w:p w:rsidR="00FB4D4D" w:rsidRPr="00A12875" w:rsidRDefault="00FB4D4D" w:rsidP="00FB4D4D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pStyle w:val="ListParagraph"/>
        <w:jc w:val="both"/>
        <w:rPr>
          <w:rFonts w:asciiTheme="minorHAnsi" w:hAnsiTheme="minorHAnsi"/>
        </w:rPr>
      </w:pPr>
    </w:p>
    <w:p w:rsidR="00FB4D4D" w:rsidRPr="00A12875" w:rsidRDefault="00FB4D4D" w:rsidP="00FB4D4D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p w:rsidR="00A03C88" w:rsidRDefault="00A03C88"/>
    <w:sectPr w:rsidR="00A03C88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D4D"/>
    <w:rsid w:val="00017A9F"/>
    <w:rsid w:val="00023E4D"/>
    <w:rsid w:val="001D01C6"/>
    <w:rsid w:val="00224E39"/>
    <w:rsid w:val="0028369E"/>
    <w:rsid w:val="00327F18"/>
    <w:rsid w:val="003E6478"/>
    <w:rsid w:val="00420DA5"/>
    <w:rsid w:val="00434E5E"/>
    <w:rsid w:val="00565D0B"/>
    <w:rsid w:val="00602640"/>
    <w:rsid w:val="00623CC9"/>
    <w:rsid w:val="006321CD"/>
    <w:rsid w:val="00765816"/>
    <w:rsid w:val="007D4D5F"/>
    <w:rsid w:val="00802200"/>
    <w:rsid w:val="009E7FE8"/>
    <w:rsid w:val="00A03C88"/>
    <w:rsid w:val="00A44DA3"/>
    <w:rsid w:val="00A641A9"/>
    <w:rsid w:val="00A8717A"/>
    <w:rsid w:val="00B07B89"/>
    <w:rsid w:val="00B221FF"/>
    <w:rsid w:val="00BA5964"/>
    <w:rsid w:val="00BC16BA"/>
    <w:rsid w:val="00BE2A82"/>
    <w:rsid w:val="00D013D1"/>
    <w:rsid w:val="00DF0292"/>
    <w:rsid w:val="00EC7369"/>
    <w:rsid w:val="00FA03F1"/>
    <w:rsid w:val="00FB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</cp:lastModifiedBy>
  <cp:revision>5</cp:revision>
  <cp:lastPrinted>2018-08-08T11:24:00Z</cp:lastPrinted>
  <dcterms:created xsi:type="dcterms:W3CDTF">2018-08-03T11:40:00Z</dcterms:created>
  <dcterms:modified xsi:type="dcterms:W3CDTF">2018-08-08T11:37:00Z</dcterms:modified>
</cp:coreProperties>
</file>